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  <w:u w:val="single"/>
        </w:rPr>
      </w:pPr>
      <w:bookmarkStart w:id="0" w:name="__DdeLink__1507_2273579481"/>
      <w:r>
        <w:rPr>
          <w:rFonts w:cs="Times New Roman CYR" w:ascii="Times New Roman CYR" w:hAnsi="Times New Roman CYR"/>
          <w:b/>
          <w:bCs/>
          <w:color w:val="000000"/>
          <w:sz w:val="32"/>
          <w:szCs w:val="32"/>
          <w:u w:val="single"/>
        </w:rPr>
        <w:t>Профилактика травматизма</w:t>
      </w:r>
      <w:bookmarkEnd w:id="0"/>
    </w:p>
    <w:p>
      <w:pPr>
        <w:pStyle w:val="Normal"/>
        <w:spacing w:lineRule="auto" w:line="240" w:before="0" w:after="150"/>
        <w:ind w:left="-195" w:right="-240" w:hanging="0"/>
        <w:jc w:val="both"/>
        <w:rPr>
          <w:rFonts w:ascii="Times New Roman CYR" w:hAnsi="Times New Roman CYR" w:cs="Times New Roman CYR"/>
          <w:b/>
          <w:b/>
          <w:bCs/>
          <w:color w:val="3163A0"/>
          <w:sz w:val="28"/>
          <w:szCs w:val="28"/>
          <w:highlight w:val="cyan"/>
        </w:rPr>
      </w:pPr>
      <w:r>
        <w:rPr>
          <w:rFonts w:cs="Times New Roman" w:ascii="Times New Roman" w:hAnsi="Times New Roman"/>
          <w:b/>
          <w:bCs/>
          <w:color w:val="3163A0"/>
          <w:sz w:val="28"/>
          <w:szCs w:val="28"/>
          <w:highlight w:val="cyan"/>
        </w:rPr>
        <w:tab/>
      </w:r>
      <w:r>
        <w:rPr>
          <w:rFonts w:cs="Times New Roman CYR" w:ascii="Times New Roman CYR" w:hAnsi="Times New Roman CYR"/>
          <w:b/>
          <w:bCs/>
          <w:color w:val="3163A0"/>
          <w:sz w:val="28"/>
          <w:szCs w:val="28"/>
          <w:highlight w:val="cyan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Большинство травм дети получают дома; многих из них можно избежать.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>Основные виды травм, которые дети могут получить дома, и их причины: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падение с кровати, окна, стола и ступенек;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удушье от мелких предметов (монет, пуговиц, гаек и др.);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отравление бытовыми химическими веществами (инсектицидами, моющими жидкостями, отбеливателями и др.);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>
      <w:pPr>
        <w:pStyle w:val="Normal"/>
        <w:spacing w:lineRule="auto" w:line="240" w:before="28" w:after="120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color w:val="000000"/>
          <w:sz w:val="32"/>
          <w:szCs w:val="32"/>
        </w:rPr>
        <w:t>Ожоги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>Ожогов можно избежать, если: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держать детей подальше от горячей плиты, пищи и утюга;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>
      <w:pPr>
        <w:pStyle w:val="Normal"/>
        <w:spacing w:lineRule="auto" w:line="240" w:before="28" w:after="120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color w:val="000000"/>
          <w:sz w:val="32"/>
          <w:szCs w:val="32"/>
        </w:rPr>
        <w:t>Удушье от малых предметов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Кашель,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color w:val="000000"/>
          <w:sz w:val="32"/>
          <w:szCs w:val="32"/>
        </w:rPr>
        <w:t>Падения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не разрешать детям лазить в опасных местах;</w:t>
      </w:r>
    </w:p>
    <w:p>
      <w:pPr>
        <w:pStyle w:val="Normal"/>
        <w:numPr>
          <w:ilvl w:val="0"/>
          <w:numId w:val="1"/>
        </w:numPr>
        <w:spacing w:lineRule="auto" w:line="240" w:before="28" w:after="2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устанавливать ограждения на ступеньках, окнах и балконах.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color w:val="000000"/>
          <w:sz w:val="32"/>
          <w:szCs w:val="32"/>
        </w:rPr>
        <w:t>Поражение электрическим током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120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color w:val="000000"/>
          <w:sz w:val="32"/>
          <w:szCs w:val="32"/>
        </w:rPr>
        <w:t>Отравление бытовыми химическими веществами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28"/>
        <w:ind w:left="-195" w:right="-240" w:hang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 CYR" w:ascii="Times New Roman CYR" w:hAnsi="Times New Roman CYR"/>
          <w:color w:val="000000"/>
          <w:sz w:val="28"/>
          <w:szCs w:val="28"/>
        </w:rPr>
        <w:t>Неправильное применение и передозировка антибиотиков могут привести у маленьких детей к глухоте.</w:t>
      </w:r>
    </w:p>
    <w:p>
      <w:pPr>
        <w:pStyle w:val="Normal"/>
        <w:spacing w:lineRule="auto" w:line="240" w:before="28" w:after="28"/>
        <w:ind w:left="-195" w:right="-24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8" w:after="28"/>
        <w:ind w:left="-195" w:right="-2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32"/>
          <w:szCs w:val="32"/>
        </w:rPr>
      </w:pPr>
      <w:r>
        <w:rPr/>
      </w:r>
    </w:p>
    <w:sectPr>
      <w:type w:val="nextPage"/>
      <w:pgSz w:w="12240" w:h="15840"/>
      <w:pgMar w:left="851" w:right="851" w:header="0" w:top="567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2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  <Pages>2</Pages>
  <Words>586</Words>
  <Characters>3644</Characters>
  <CharactersWithSpaces>4201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2012-11-20T07:21:00Z</dcterms:created>
  <dc:creator>Секретарь</dc:creator>
  <dc:description/>
  <dc:language>ru-RU</dc:language>
  <cp:lastModifiedBy/>
  <cp:lastPrinted>2012-11-20T06:29:00Z</cp:lastPrinted>
  <dcterms:modified xsi:type="dcterms:W3CDTF">2022-01-18T15:55:21Z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